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widowControl w:val="0"/>
        <w:wordWrap/>
        <w:adjustRightInd/>
        <w:snapToGrid/>
        <w:spacing w:line="560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IPv6改造相关指标和测试方法说明</w:t>
      </w:r>
    </w:p>
    <w:p>
      <w:pPr>
        <w:widowControl w:val="0"/>
        <w:wordWrap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 一、IPv6网络性能劣化比</w:t>
      </w:r>
    </w:p>
    <w:p>
      <w:pPr>
        <w:widowControl w:val="0"/>
        <w:wordWrap/>
        <w:adjustRightInd/>
        <w:snapToGrid/>
        <w:spacing w:line="5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>IPv6网络性能劣化比=（IPv6网络性能-IPv4网络性能）/IPv4网络性能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，其中当IPv</w:t>
      </w: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和IPv</w:t>
      </w:r>
      <w:r>
        <w:rPr>
          <w:rFonts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性能好于某一阈值时，不再考量性能劣化比，视为趋同</w:t>
      </w:r>
      <w:r>
        <w:rPr>
          <w:rFonts w:hint="default" w:ascii="Times New Roman" w:hAnsi="Times New Roman" w:eastAsia="FangSong_GB2312" w:cs="Times New Roman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>IPv6和IPv4网络性能数据来自国家IPv6发展监测平台抽样检测，由移动和固定宽带用户到指定目标的往返时延、网络丢包率和TCP建立连接成功率等主要网络指标综合加权形成。具体测量方法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和性能阈值</w:t>
      </w:r>
      <w:r>
        <w:rPr>
          <w:rFonts w:hint="default" w:ascii="Times New Roman" w:hAnsi="Times New Roman" w:eastAsia="FangSong_GB2312" w:cs="Times New Roman"/>
          <w:sz w:val="32"/>
          <w:szCs w:val="32"/>
        </w:rPr>
        <w:t>参见《IPv6网络性能测量指标和方法》。</w:t>
      </w:r>
    </w:p>
    <w:p>
      <w:pPr>
        <w:widowControl w:val="0"/>
        <w:wordWrap/>
        <w:adjustRightInd/>
        <w:snapToGrid/>
        <w:spacing w:line="560" w:lineRule="exact"/>
        <w:ind w:left="42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二、网络IPv6活跃连接数</w:t>
      </w:r>
    </w:p>
    <w:p>
      <w:pPr>
        <w:widowControl w:val="0"/>
        <w:wordWrap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 xml:space="preserve">    IPv6活跃连接数指已经获得IPv6地址，且在一个月内有IPv6访问记录或者流量记录的用户数，其中访问记录或者流量记录不包含单纯的Ping操作或者单纯的DNS查询操作记录。</w:t>
      </w:r>
    </w:p>
    <w:p>
      <w:pPr>
        <w:widowControl w:val="0"/>
        <w:wordWrap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 xml:space="preserve">   IPv6活跃连接数由基础电信企业通过国家IPv6发展监测平台运营商数据采集接口上报。</w:t>
      </w:r>
    </w:p>
    <w:p>
      <w:pPr>
        <w:widowControl w:val="0"/>
        <w:wordWrap/>
        <w:adjustRightInd/>
        <w:snapToGrid/>
        <w:spacing w:line="560" w:lineRule="exact"/>
        <w:ind w:left="42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三、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移动</w:t>
      </w:r>
      <w:r>
        <w:rPr>
          <w:rFonts w:hint="default" w:ascii="Times New Roman" w:hAnsi="Times New Roman" w:eastAsia="黑体" w:cs="Times New Roman"/>
          <w:sz w:val="32"/>
          <w:szCs w:val="32"/>
        </w:rPr>
        <w:t>网络IPv6流量占比</w:t>
      </w:r>
    </w:p>
    <w:p>
      <w:pPr>
        <w:widowControl w:val="0"/>
        <w:wordWrap/>
        <w:adjustRightInd/>
        <w:snapToGrid/>
        <w:spacing w:line="560" w:lineRule="exact"/>
        <w:ind w:right="0" w:firstLine="645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>移动网络IPv6流量占比=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（LTE网络IPv</w:t>
      </w:r>
      <w:r>
        <w:rPr>
          <w:rFonts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流量+</w:t>
      </w:r>
      <w:r>
        <w:rPr>
          <w:rFonts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G网络IPv</w:t>
      </w:r>
      <w:r>
        <w:rPr>
          <w:rFonts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流量）</w:t>
      </w:r>
      <w:r>
        <w:rPr>
          <w:rFonts w:ascii="Times New Roman" w:hAnsi="Times New Roman" w:eastAsia="仿宋_GB2312" w:cs="Times New Roman"/>
          <w:sz w:val="32"/>
          <w:szCs w:val="32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</w:t>
      </w:r>
      <w:r>
        <w:rPr>
          <w:rFonts w:ascii="Times New Roman" w:hAnsi="Times New Roman" w:eastAsia="仿宋_GB2312" w:cs="Times New Roman"/>
          <w:sz w:val="32"/>
          <w:szCs w:val="32"/>
        </w:rPr>
        <w:t>LTE网络流量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+</w:t>
      </w:r>
      <w:r>
        <w:rPr>
          <w:rFonts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G网络流量）</w:t>
      </w:r>
      <w:r>
        <w:rPr>
          <w:rFonts w:hint="default" w:ascii="Times New Roman" w:hAnsi="Times New Roman" w:eastAsia="FangSong_GB2312" w:cs="Times New Roman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 xml:space="preserve">    LTE网络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、5G网络</w:t>
      </w:r>
      <w:r>
        <w:rPr>
          <w:rFonts w:hint="default" w:ascii="Times New Roman" w:hAnsi="Times New Roman" w:eastAsia="FangSong_GB2312" w:cs="Times New Roman"/>
          <w:sz w:val="32"/>
          <w:szCs w:val="32"/>
        </w:rPr>
        <w:t>IPv6流量由基础电信企业通过国家IPv6发展监测平台运营商数据采集接口上报。</w:t>
      </w:r>
    </w:p>
    <w:p>
      <w:pPr>
        <w:widowControl w:val="0"/>
        <w:wordWrap/>
        <w:adjustRightInd/>
        <w:snapToGrid/>
        <w:spacing w:line="560" w:lineRule="exact"/>
        <w:ind w:left="42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四、内容分发网络（CDN）IPv6支持度</w:t>
      </w:r>
    </w:p>
    <w:p>
      <w:pPr>
        <w:widowControl w:val="0"/>
        <w:wordWrap/>
        <w:adjustRightInd/>
        <w:snapToGrid/>
        <w:spacing w:line="560" w:lineRule="exact"/>
        <w:ind w:right="0" w:firstLine="630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>内容分发网络（CDN）节点数指特定区域范围内，能过提供内容分发服务的数据中心（IDC）机房的个数。这些节点中能够独立提供IPv6业务加速服务的节点视为支持IPv6的节点数，支持IPv6的节点数在全部节点数中占比应超过85%。</w:t>
      </w:r>
    </w:p>
    <w:p>
      <w:pPr>
        <w:widowControl w:val="0"/>
        <w:wordWrap/>
        <w:adjustRightInd/>
        <w:snapToGrid/>
        <w:spacing w:line="560" w:lineRule="exact"/>
        <w:ind w:right="0" w:firstLine="630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>内容分发网络（CDN）服务覆盖能力指在特定区域范围内，内容分发服务能够覆盖的用户范围，由覆盖的地理区域范围（地市级）和覆盖的互联网接入服务提供商的数量综合评价。IPv6服务覆盖能力达到IPv4服务覆盖能力的85%以上。</w:t>
      </w:r>
    </w:p>
    <w:p>
      <w:pPr>
        <w:widowControl w:val="0"/>
        <w:wordWrap/>
        <w:adjustRightInd/>
        <w:snapToGrid/>
        <w:spacing w:line="560" w:lineRule="exact"/>
        <w:ind w:right="0" w:firstLine="630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>内容分发网络（CDN）应用加速性能指内容分发网络（CDN）运营企业提供业务加速时的性能指标。提供IPv6业务加速的性能应达到提供IPv4业务加速性能的85%。</w:t>
      </w:r>
    </w:p>
    <w:p>
      <w:pPr>
        <w:widowControl w:val="0"/>
        <w:wordWrap/>
        <w:adjustRightInd/>
        <w:snapToGrid/>
        <w:spacing w:line="560" w:lineRule="exact"/>
        <w:ind w:right="0" w:firstLine="630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>内容分发网络（CDN）IPv6支持度相关数据来源于内容分发网络（CDN）企业定期报送、企业年报、国家IPv6发展监测平台监测信息，具体评测指标和方法参见《内容分发网络（CDN）IPv6支持度评测指标和方法》。</w:t>
      </w:r>
    </w:p>
    <w:p>
      <w:pPr>
        <w:widowControl w:val="0"/>
        <w:wordWrap/>
        <w:adjustRightInd/>
        <w:snapToGrid/>
        <w:spacing w:line="560" w:lineRule="exact"/>
        <w:ind w:left="42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黑体" w:cs="Times New Roman"/>
          <w:sz w:val="32"/>
          <w:szCs w:val="32"/>
        </w:rPr>
        <w:t>、云服务平台IPv6业务承载能力</w:t>
      </w:r>
    </w:p>
    <w:p>
      <w:pPr>
        <w:widowControl w:val="0"/>
        <w:wordWrap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 xml:space="preserve">    云服务平台面向公众用户提供的云产品默认支持IPv6协议，用户能够通过IPv6网络访问或者使用云产品，认为云产品支持IPv6.</w:t>
      </w:r>
    </w:p>
    <w:p>
      <w:pPr>
        <w:widowControl w:val="0"/>
        <w:wordWrap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 xml:space="preserve">    可用域（Region）</w:t>
      </w:r>
      <w:r>
        <w:rPr>
          <w:rFonts w:hint="default" w:ascii="Times New Roman" w:hAnsi="Times New Roman" w:eastAsia="FangSong_GB2312" w:cs="Times New Roman"/>
          <w:sz w:val="32"/>
          <w:szCs w:val="32"/>
          <w:lang w:eastAsia="zh-CN"/>
        </w:rPr>
        <w:t>一般是</w:t>
      </w:r>
      <w:r>
        <w:rPr>
          <w:rFonts w:hint="default" w:ascii="Times New Roman" w:hAnsi="Times New Roman" w:eastAsia="FangSong_GB2312" w:cs="Times New Roman"/>
          <w:sz w:val="32"/>
          <w:szCs w:val="32"/>
        </w:rPr>
        <w:t>指</w:t>
      </w:r>
      <w:r>
        <w:rPr>
          <w:rFonts w:hint="default" w:ascii="Times New Roman" w:hAnsi="Times New Roman" w:eastAsia="FangSong_GB2312" w:cs="Times New Roman"/>
          <w:sz w:val="32"/>
          <w:szCs w:val="32"/>
          <w:lang w:eastAsia="zh-CN"/>
        </w:rPr>
        <w:t>云平台所在的地理范围</w:t>
      </w:r>
      <w:r>
        <w:rPr>
          <w:rFonts w:hint="default" w:ascii="Times New Roman" w:hAnsi="Times New Roman" w:eastAsia="FangSong_GB2312" w:cs="Times New Roman"/>
          <w:sz w:val="32"/>
          <w:szCs w:val="32"/>
        </w:rPr>
        <w:t>，多以城市为代表。可用域中的数据中心完成IPv6改造，并在该可用域内提供至少一个支持IPv6的云产品，认为该可用域支持IPv6。所有支持IPv6的可用域累加应能够覆盖所有面向公众用户提供的支持IPv6的云产品。</w:t>
      </w:r>
    </w:p>
    <w:p>
      <w:pPr>
        <w:widowControl w:val="0"/>
        <w:wordWrap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 xml:space="preserve">    云服务平台IPv6业务承载能力相关数据来源于国家IPv6发展监测平台监测</w:t>
      </w:r>
      <w:r>
        <w:rPr>
          <w:rFonts w:hint="default" w:ascii="Times New Roman" w:hAnsi="Times New Roman" w:eastAsia="FangSong_GB2312" w:cs="Times New Roman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FangSong_GB2312" w:cs="Times New Roman"/>
          <w:sz w:val="32"/>
          <w:szCs w:val="32"/>
        </w:rPr>
        <w:t>云服务企业报送，具体评测指标和方法参见《云服务IPv6支持度评测指标和方法》。</w:t>
      </w:r>
    </w:p>
    <w:p>
      <w:pPr>
        <w:widowControl w:val="0"/>
        <w:wordWrap/>
        <w:adjustRightInd/>
        <w:snapToGrid/>
        <w:spacing w:line="560" w:lineRule="exact"/>
        <w:ind w:left="42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六</w:t>
      </w:r>
      <w:r>
        <w:rPr>
          <w:rFonts w:hint="default" w:ascii="Times New Roman" w:hAnsi="Times New Roman" w:eastAsia="黑体" w:cs="Times New Roman"/>
          <w:sz w:val="32"/>
          <w:szCs w:val="32"/>
        </w:rPr>
        <w:t>、数据中心（IDC）IPv6覆盖</w:t>
      </w:r>
    </w:p>
    <w:p>
      <w:pPr>
        <w:pStyle w:val="9"/>
        <w:widowControl w:val="0"/>
        <w:wordWrap/>
        <w:adjustRightInd/>
        <w:snapToGrid/>
        <w:spacing w:line="560" w:lineRule="exact"/>
        <w:ind w:left="0" w:right="0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 xml:space="preserve">    数据中心内部网络和出口设备完成IPv6改造，支持IPv4/IPv6双栈通信，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通过</w:t>
      </w:r>
      <w:r>
        <w:rPr>
          <w:rFonts w:ascii="Times New Roman" w:hAnsi="Times New Roman" w:eastAsia="仿宋_GB2312" w:cs="Times New Roman"/>
          <w:sz w:val="32"/>
          <w:szCs w:val="32"/>
        </w:rPr>
        <w:t>部署IDC监测点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或者国家IPv</w:t>
      </w:r>
      <w:r>
        <w:rPr>
          <w:rFonts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发展监测平台主动探测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能够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发现的IDC，视为完成数据中心IPv</w:t>
      </w:r>
      <w:r>
        <w:rPr>
          <w:rFonts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改造。</w:t>
      </w:r>
    </w:p>
    <w:p>
      <w:pPr>
        <w:widowControl w:val="0"/>
        <w:wordWrap/>
        <w:adjustRightInd/>
        <w:snapToGrid/>
        <w:spacing w:line="560" w:lineRule="exact"/>
        <w:ind w:left="42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七</w:t>
      </w:r>
      <w:r>
        <w:rPr>
          <w:rFonts w:hint="default" w:ascii="Times New Roman" w:hAnsi="Times New Roman" w:eastAsia="黑体" w:cs="Times New Roman"/>
          <w:sz w:val="32"/>
          <w:szCs w:val="32"/>
        </w:rPr>
        <w:t>、终端设备IPv6支持能力</w:t>
      </w:r>
    </w:p>
    <w:p>
      <w:pPr>
        <w:pStyle w:val="9"/>
        <w:widowControl w:val="0"/>
        <w:wordWrap/>
        <w:adjustRightInd/>
        <w:snapToGrid/>
        <w:spacing w:line="560" w:lineRule="exact"/>
        <w:ind w:left="0" w:right="0" w:firstLine="640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>固定终端包括家庭网关、企业网关、</w:t>
      </w: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无线</w:t>
      </w:r>
      <w:r>
        <w:rPr>
          <w:rFonts w:hint="default" w:ascii="Times New Roman" w:hAnsi="Times New Roman" w:eastAsia="FangSong_GB2312" w:cs="Times New Roman"/>
          <w:sz w:val="32"/>
          <w:szCs w:val="32"/>
        </w:rPr>
        <w:t>路由器、智能家居等</w:t>
      </w: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终端</w:t>
      </w:r>
      <w:r>
        <w:rPr>
          <w:rFonts w:hint="default" w:ascii="Times New Roman" w:hAnsi="Times New Roman" w:eastAsia="FangSong_GB2312" w:cs="Times New Roman"/>
          <w:sz w:val="32"/>
          <w:szCs w:val="32"/>
        </w:rPr>
        <w:t>设备，</w:t>
      </w: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上述</w:t>
      </w:r>
      <w:r>
        <w:rPr>
          <w:rFonts w:hint="default" w:ascii="Times New Roman" w:hAnsi="Times New Roman" w:eastAsia="FangSong_GB2312" w:cs="Times New Roman"/>
          <w:sz w:val="32"/>
          <w:szCs w:val="32"/>
        </w:rPr>
        <w:t>设备默认开启IPv6协议栈，具备SLAAC、RDNSS和DHCPv6等多种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IPv</w:t>
      </w:r>
      <w:r>
        <w:rPr>
          <w:rFonts w:ascii="Times New Roman" w:hAnsi="Times New Roman" w:eastAsia="仿宋_GB2312" w:cs="Times New Roman"/>
          <w:sz w:val="32"/>
          <w:szCs w:val="32"/>
        </w:rPr>
        <w:t>6</w:t>
      </w:r>
      <w:r>
        <w:rPr>
          <w:rFonts w:hint="default" w:ascii="Times New Roman" w:hAnsi="Times New Roman" w:eastAsia="FangSong_GB2312" w:cs="Times New Roman"/>
          <w:sz w:val="32"/>
          <w:szCs w:val="32"/>
        </w:rPr>
        <w:t>地址分配能力，用户接入网络后能够获得IPv6地址，认为固定终端支持IPv6。</w:t>
      </w:r>
    </w:p>
    <w:p>
      <w:pPr>
        <w:pStyle w:val="9"/>
        <w:widowControl w:val="0"/>
        <w:wordWrap/>
        <w:adjustRightInd/>
        <w:snapToGrid/>
        <w:spacing w:line="560" w:lineRule="exact"/>
        <w:ind w:left="0" w:right="0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 xml:space="preserve">    终端设备IPv6支持度相关数据来源于国家IPv6发展监测平台抽样检测结果，具体测评指标及方法参见《终端设备IPv6支持度评测指标和方法》。</w:t>
      </w:r>
    </w:p>
    <w:p>
      <w:pPr>
        <w:widowControl w:val="0"/>
        <w:wordWrap/>
        <w:adjustRightInd/>
        <w:snapToGrid/>
        <w:spacing w:line="560" w:lineRule="exact"/>
        <w:ind w:left="42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八</w:t>
      </w:r>
      <w:r>
        <w:rPr>
          <w:rFonts w:hint="default" w:ascii="Times New Roman" w:hAnsi="Times New Roman" w:eastAsia="黑体" w:cs="Times New Roman"/>
          <w:sz w:val="32"/>
          <w:szCs w:val="32"/>
        </w:rPr>
        <w:t>、网站及互联网应用IPv6浓度</w:t>
      </w:r>
    </w:p>
    <w:p>
      <w:pPr>
        <w:pStyle w:val="9"/>
        <w:widowControl w:val="0"/>
        <w:wordWrap/>
        <w:adjustRightInd/>
        <w:snapToGrid/>
        <w:spacing w:line="560" w:lineRule="exact"/>
        <w:ind w:left="0" w:right="0" w:firstLine="640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>（一）门户网站</w:t>
      </w:r>
    </w:p>
    <w:p>
      <w:pPr>
        <w:pStyle w:val="9"/>
        <w:widowControl w:val="0"/>
        <w:wordWrap/>
        <w:adjustRightInd/>
        <w:snapToGrid/>
        <w:spacing w:line="560" w:lineRule="exact"/>
        <w:ind w:left="0" w:right="0" w:firstLine="640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>网站二级链接指通过首页可点击访问的链接，网站二级链接支持IPv6指相关链接的域名具备AAAA记录，并能够正确被解析，能通过IPv6协议被成功访问。网站二级链接IPv6</w:t>
      </w: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浓度</w:t>
      </w:r>
      <w:r>
        <w:rPr>
          <w:rFonts w:hint="default" w:ascii="Times New Roman" w:hAnsi="Times New Roman" w:eastAsia="FangSong_GB2312" w:cs="Times New Roman"/>
          <w:sz w:val="32"/>
          <w:szCs w:val="32"/>
        </w:rPr>
        <w:t>指在网站能通过IPv6协议成功访问的二级链接占网站总的二级链接的比例（不包含网站外部链接），应大于85%。</w:t>
      </w:r>
    </w:p>
    <w:p>
      <w:pPr>
        <w:pStyle w:val="9"/>
        <w:widowControl w:val="0"/>
        <w:wordWrap/>
        <w:adjustRightInd/>
        <w:snapToGrid/>
        <w:spacing w:line="560" w:lineRule="exact"/>
        <w:ind w:left="0" w:right="0" w:firstLine="640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>网站三级链接指通过二级链接可点击访问的链接，网站三级链接支持IPv6指相关链接的域名具备AAAA记录，并能够正确被解析，能通过IPv6协议被成功访问。网站三级链接IPv6</w:t>
      </w: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浓度</w:t>
      </w:r>
      <w:r>
        <w:rPr>
          <w:rFonts w:hint="default" w:ascii="Times New Roman" w:hAnsi="Times New Roman" w:eastAsia="FangSong_GB2312" w:cs="Times New Roman"/>
          <w:sz w:val="32"/>
          <w:szCs w:val="32"/>
        </w:rPr>
        <w:t>指在网站能通过IPv6协议访问成功的三级链接占网站总的三级链接的比例（不包含网站外部链接），应大于85%。</w:t>
      </w:r>
    </w:p>
    <w:p>
      <w:pPr>
        <w:pStyle w:val="9"/>
        <w:widowControl w:val="0"/>
        <w:wordWrap/>
        <w:adjustRightInd/>
        <w:snapToGrid/>
        <w:spacing w:line="560" w:lineRule="exact"/>
        <w:ind w:left="0" w:right="0" w:firstLine="640" w:firstLineChars="200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>网站二级、三级链接IPv6</w:t>
      </w: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浓度</w:t>
      </w:r>
      <w:r>
        <w:rPr>
          <w:rFonts w:hint="default" w:ascii="Times New Roman" w:hAnsi="Times New Roman" w:eastAsia="FangSong_GB2312" w:cs="Times New Roman"/>
          <w:sz w:val="32"/>
          <w:szCs w:val="32"/>
        </w:rPr>
        <w:t>相关数据来源于国家IPv6发展监测平台监测信息。</w:t>
      </w:r>
    </w:p>
    <w:p>
      <w:pPr>
        <w:pStyle w:val="9"/>
        <w:widowControl w:val="0"/>
        <w:wordWrap/>
        <w:adjustRightInd/>
        <w:snapToGrid/>
        <w:spacing w:line="560" w:lineRule="exact"/>
        <w:ind w:left="0" w:right="0" w:firstLine="640" w:firstLineChars="200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>（二）互联网应用（APP）</w:t>
      </w:r>
    </w:p>
    <w:p>
      <w:pPr>
        <w:pStyle w:val="9"/>
        <w:widowControl w:val="0"/>
        <w:wordWrap/>
        <w:adjustRightInd/>
        <w:snapToGrid/>
        <w:spacing w:line="560" w:lineRule="exact"/>
        <w:ind w:left="0" w:right="0" w:firstLine="640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>互联网应用（APP）IPv6</w:t>
      </w: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浓度</w:t>
      </w:r>
      <w:r>
        <w:rPr>
          <w:rFonts w:hint="default" w:ascii="Times New Roman" w:hAnsi="Times New Roman" w:eastAsia="FangSong_GB2312" w:cs="Times New Roman"/>
          <w:sz w:val="32"/>
          <w:szCs w:val="32"/>
        </w:rPr>
        <w:t>指在移动终端上使用互联网应用（APP）10分钟内所通过IPv6协议承载的网络流量占全部网络流量的比例，取五次测试的平均值。</w:t>
      </w:r>
    </w:p>
    <w:p>
      <w:pPr>
        <w:pStyle w:val="9"/>
        <w:widowControl w:val="0"/>
        <w:wordWrap/>
        <w:adjustRightInd/>
        <w:snapToGrid/>
        <w:spacing w:line="560" w:lineRule="exact"/>
        <w:ind w:left="0" w:right="0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 xml:space="preserve">    互联网应用（APP）IPv6</w:t>
      </w: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浓度</w:t>
      </w:r>
      <w:r>
        <w:rPr>
          <w:rFonts w:hint="default" w:ascii="Times New Roman" w:hAnsi="Times New Roman" w:eastAsia="FangSong_GB2312" w:cs="Times New Roman"/>
          <w:sz w:val="32"/>
          <w:szCs w:val="32"/>
        </w:rPr>
        <w:t>相关数据来源于国家IPv6发展监测平台监测信息。</w:t>
      </w:r>
    </w:p>
    <w:p>
      <w:pPr>
        <w:pStyle w:val="9"/>
        <w:widowControl w:val="0"/>
        <w:wordWrap/>
        <w:adjustRightInd/>
        <w:snapToGrid/>
        <w:spacing w:line="560" w:lineRule="exact"/>
        <w:ind w:left="0" w:right="0" w:firstLine="640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  <w:r>
        <w:rPr>
          <w:rFonts w:hint="default" w:ascii="Times New Roman" w:hAnsi="Times New Roman" w:eastAsia="FangSong_GB2312" w:cs="Times New Roman"/>
          <w:sz w:val="32"/>
          <w:szCs w:val="32"/>
        </w:rPr>
        <w:t>网站和互联网应用IPv6浓度具体评测指标和方法参见《网站和互联网应用（APP）IPv6支持度评测指标和方法》。</w:t>
      </w:r>
    </w:p>
    <w:p>
      <w:pPr>
        <w:widowControl w:val="0"/>
        <w:wordWrap/>
        <w:adjustRightInd/>
        <w:snapToGrid/>
        <w:spacing w:line="560" w:lineRule="exact"/>
        <w:ind w:right="0" w:firstLine="1280" w:firstLineChars="400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right="0" w:firstLine="1280" w:firstLineChars="400"/>
        <w:jc w:val="left"/>
        <w:textAlignment w:val="auto"/>
        <w:outlineLvl w:val="9"/>
        <w:rPr>
          <w:rFonts w:hint="default" w:ascii="Times New Roman" w:hAnsi="Times New Roman" w:eastAsia="FangSong_GB2312" w:cs="Times New Roman"/>
          <w:sz w:val="32"/>
          <w:szCs w:val="32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_GB2312"/>
    <w:panose1 w:val="02010609030101010101"/>
    <w:charset w:val="86"/>
    <w:family w:val="auto"/>
    <w:pitch w:val="default"/>
    <w:sig w:usb0="00000001" w:usb1="080E0000" w:usb2="0000001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ind w:firstLine="0" w:firstLineChars="0"/>
    </w:pPr>
    <w:r>
      <w:rPr>
        <w:rFonts w:ascii="Times New Roman" w:hAnsi="Times New Roman" w:eastAsia="仿宋" w:cs="Times New Roman"/>
        <w:kern w:val="2"/>
        <w:sz w:val="18"/>
        <w:szCs w:val="24"/>
        <w:lang w:val="en-US" w:eastAsia="zh-CN" w:bidi="ar-SA"/>
      </w:rPr>
      <w:pict>
        <v:rect id="Text Box 1" o:spid="_x0000_s1025" style="position:absolute;left:0;margin-top:0pt;height:14.25pt;width:45.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ind w:firstLine="420"/>
                  <w:rPr>
                    <w:sz w:val="21"/>
                    <w:szCs w:val="21"/>
                  </w:rPr>
                </w:pPr>
                <w:r>
                  <w:rPr>
                    <w:rFonts w:hint="eastAsia" w:ascii="仿宋" w:hAnsi="仿宋" w:eastAsia="仿宋" w:cs="仿宋"/>
                    <w:sz w:val="21"/>
                    <w:szCs w:val="21"/>
                  </w:rPr>
                  <w:t>-</w:t>
                </w:r>
                <w:r>
                  <w:rPr>
                    <w:sz w:val="21"/>
                    <w:szCs w:val="21"/>
                  </w:rPr>
                  <w:fldChar w:fldCharType="begin"/>
                </w:r>
                <w:r>
                  <w:rPr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sz w:val="21"/>
                    <w:szCs w:val="21"/>
                  </w:rPr>
                  <w:fldChar w:fldCharType="separate"/>
                </w:r>
                <w:r>
                  <w:t>5</w:t>
                </w:r>
                <w:r>
                  <w:rPr>
                    <w:sz w:val="21"/>
                    <w:szCs w:val="21"/>
                  </w:rPr>
                  <w:fldChar w:fldCharType="end"/>
                </w:r>
                <w:r>
                  <w:rPr>
                    <w:rFonts w:hint="eastAsia" w:ascii="仿宋" w:hAnsi="仿宋" w:eastAsia="仿宋" w:cs="仿宋"/>
                    <w:sz w:val="21"/>
                    <w:szCs w:val="21"/>
                  </w:rPr>
                  <w:t xml:space="preserve"> -</w:t>
                </w:r>
              </w:p>
            </w:txbxContent>
          </v:textbox>
        </v:rect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20555976"/>
    <w:rsid w:val="000915E2"/>
    <w:rsid w:val="0010583F"/>
    <w:rsid w:val="00106EFA"/>
    <w:rsid w:val="00120413"/>
    <w:rsid w:val="001839CD"/>
    <w:rsid w:val="00186985"/>
    <w:rsid w:val="001A2A94"/>
    <w:rsid w:val="001C2858"/>
    <w:rsid w:val="00237B17"/>
    <w:rsid w:val="00280981"/>
    <w:rsid w:val="002A0584"/>
    <w:rsid w:val="002B2E64"/>
    <w:rsid w:val="002B6306"/>
    <w:rsid w:val="002E1B3C"/>
    <w:rsid w:val="002E2251"/>
    <w:rsid w:val="003049CC"/>
    <w:rsid w:val="003073E8"/>
    <w:rsid w:val="0032314A"/>
    <w:rsid w:val="00330DB3"/>
    <w:rsid w:val="00343891"/>
    <w:rsid w:val="00352F9E"/>
    <w:rsid w:val="00356ED8"/>
    <w:rsid w:val="00360288"/>
    <w:rsid w:val="003635E5"/>
    <w:rsid w:val="003B33F9"/>
    <w:rsid w:val="003C41A2"/>
    <w:rsid w:val="003F6F8B"/>
    <w:rsid w:val="00417019"/>
    <w:rsid w:val="004832CC"/>
    <w:rsid w:val="004C1586"/>
    <w:rsid w:val="004C326C"/>
    <w:rsid w:val="004E5088"/>
    <w:rsid w:val="00514DB1"/>
    <w:rsid w:val="00525893"/>
    <w:rsid w:val="0055624E"/>
    <w:rsid w:val="005E3D91"/>
    <w:rsid w:val="006020EF"/>
    <w:rsid w:val="006129AD"/>
    <w:rsid w:val="00642C75"/>
    <w:rsid w:val="00654670"/>
    <w:rsid w:val="006F2388"/>
    <w:rsid w:val="006F45C4"/>
    <w:rsid w:val="006F5FDF"/>
    <w:rsid w:val="00703FDC"/>
    <w:rsid w:val="007109FF"/>
    <w:rsid w:val="00722124"/>
    <w:rsid w:val="00724B87"/>
    <w:rsid w:val="00743224"/>
    <w:rsid w:val="00754670"/>
    <w:rsid w:val="007B32D0"/>
    <w:rsid w:val="007F3F8C"/>
    <w:rsid w:val="00875A35"/>
    <w:rsid w:val="0089279D"/>
    <w:rsid w:val="008E73E4"/>
    <w:rsid w:val="00946BFF"/>
    <w:rsid w:val="00982152"/>
    <w:rsid w:val="009B14EF"/>
    <w:rsid w:val="009C5BA6"/>
    <w:rsid w:val="00A028F4"/>
    <w:rsid w:val="00A2767C"/>
    <w:rsid w:val="00A3293B"/>
    <w:rsid w:val="00A450DB"/>
    <w:rsid w:val="00A701BD"/>
    <w:rsid w:val="00A923D7"/>
    <w:rsid w:val="00B15AA9"/>
    <w:rsid w:val="00B62F40"/>
    <w:rsid w:val="00B63CD3"/>
    <w:rsid w:val="00B74183"/>
    <w:rsid w:val="00B86404"/>
    <w:rsid w:val="00C34D15"/>
    <w:rsid w:val="00C4099D"/>
    <w:rsid w:val="00CB4853"/>
    <w:rsid w:val="00D03C4E"/>
    <w:rsid w:val="00D30B52"/>
    <w:rsid w:val="00D53A97"/>
    <w:rsid w:val="00D70CC2"/>
    <w:rsid w:val="00D71EF2"/>
    <w:rsid w:val="00D82431"/>
    <w:rsid w:val="00D866D0"/>
    <w:rsid w:val="00DA0317"/>
    <w:rsid w:val="00DF0570"/>
    <w:rsid w:val="00E12EBC"/>
    <w:rsid w:val="00E44501"/>
    <w:rsid w:val="00E46878"/>
    <w:rsid w:val="00E57A9A"/>
    <w:rsid w:val="00E95AEE"/>
    <w:rsid w:val="00EB4DC8"/>
    <w:rsid w:val="00ED3506"/>
    <w:rsid w:val="00F02938"/>
    <w:rsid w:val="00F82603"/>
    <w:rsid w:val="00F82CD5"/>
    <w:rsid w:val="00F93C75"/>
    <w:rsid w:val="00FA4387"/>
    <w:rsid w:val="00FC3EDD"/>
    <w:rsid w:val="00FF2B8D"/>
    <w:rsid w:val="00FF453A"/>
    <w:rsid w:val="00FF6586"/>
    <w:rsid w:val="011C07DF"/>
    <w:rsid w:val="012B5576"/>
    <w:rsid w:val="01875C90"/>
    <w:rsid w:val="019571A4"/>
    <w:rsid w:val="01BE715D"/>
    <w:rsid w:val="029B7D56"/>
    <w:rsid w:val="03701033"/>
    <w:rsid w:val="03BE5CA7"/>
    <w:rsid w:val="047561A2"/>
    <w:rsid w:val="04953394"/>
    <w:rsid w:val="0516453A"/>
    <w:rsid w:val="05E155B5"/>
    <w:rsid w:val="06C816A6"/>
    <w:rsid w:val="07E06395"/>
    <w:rsid w:val="097E7F9F"/>
    <w:rsid w:val="099A78CF"/>
    <w:rsid w:val="09DA06B8"/>
    <w:rsid w:val="0A21302B"/>
    <w:rsid w:val="0AB430F6"/>
    <w:rsid w:val="0B0758A7"/>
    <w:rsid w:val="0B5D4FB1"/>
    <w:rsid w:val="0BB66944"/>
    <w:rsid w:val="0C374A97"/>
    <w:rsid w:val="0CCC3274"/>
    <w:rsid w:val="0D747B9F"/>
    <w:rsid w:val="0EB01B25"/>
    <w:rsid w:val="0F2130DE"/>
    <w:rsid w:val="0F77049A"/>
    <w:rsid w:val="0FD079FE"/>
    <w:rsid w:val="11424737"/>
    <w:rsid w:val="1160140E"/>
    <w:rsid w:val="11E47469"/>
    <w:rsid w:val="12494C0F"/>
    <w:rsid w:val="12860360"/>
    <w:rsid w:val="13274577"/>
    <w:rsid w:val="14135500"/>
    <w:rsid w:val="159813D1"/>
    <w:rsid w:val="183C3AF4"/>
    <w:rsid w:val="193E1C7A"/>
    <w:rsid w:val="1B795D21"/>
    <w:rsid w:val="1BB15E7B"/>
    <w:rsid w:val="1C5A4866"/>
    <w:rsid w:val="1CFE3CDE"/>
    <w:rsid w:val="1D0F70BC"/>
    <w:rsid w:val="1DF276AF"/>
    <w:rsid w:val="1E914F82"/>
    <w:rsid w:val="20555976"/>
    <w:rsid w:val="20975384"/>
    <w:rsid w:val="215A639E"/>
    <w:rsid w:val="224521ED"/>
    <w:rsid w:val="22CD0827"/>
    <w:rsid w:val="23C04937"/>
    <w:rsid w:val="27506872"/>
    <w:rsid w:val="275D30E5"/>
    <w:rsid w:val="27603B29"/>
    <w:rsid w:val="27BB279A"/>
    <w:rsid w:val="2846729E"/>
    <w:rsid w:val="293314A5"/>
    <w:rsid w:val="2941227B"/>
    <w:rsid w:val="29641C74"/>
    <w:rsid w:val="2A7740A6"/>
    <w:rsid w:val="2A7F36C6"/>
    <w:rsid w:val="2AC67432"/>
    <w:rsid w:val="2B627AB5"/>
    <w:rsid w:val="2BEE4BA1"/>
    <w:rsid w:val="2C372FA5"/>
    <w:rsid w:val="2C777084"/>
    <w:rsid w:val="2DD23283"/>
    <w:rsid w:val="2E0E4C80"/>
    <w:rsid w:val="2E576295"/>
    <w:rsid w:val="2E8B79E8"/>
    <w:rsid w:val="2F8F1814"/>
    <w:rsid w:val="32647751"/>
    <w:rsid w:val="348E76C9"/>
    <w:rsid w:val="34D73340"/>
    <w:rsid w:val="35BC5B3F"/>
    <w:rsid w:val="35CE47D2"/>
    <w:rsid w:val="38DB04BD"/>
    <w:rsid w:val="39106EAD"/>
    <w:rsid w:val="39191CBD"/>
    <w:rsid w:val="3AC14675"/>
    <w:rsid w:val="3E397A85"/>
    <w:rsid w:val="3E40276F"/>
    <w:rsid w:val="3E5F0364"/>
    <w:rsid w:val="3E8C28AA"/>
    <w:rsid w:val="3EE71542"/>
    <w:rsid w:val="3EEA2A74"/>
    <w:rsid w:val="3F63690D"/>
    <w:rsid w:val="3F9C4DA0"/>
    <w:rsid w:val="3FEE0A6F"/>
    <w:rsid w:val="400E4827"/>
    <w:rsid w:val="41AC6830"/>
    <w:rsid w:val="41F2243E"/>
    <w:rsid w:val="42DF4645"/>
    <w:rsid w:val="43DE6767"/>
    <w:rsid w:val="43F30F4D"/>
    <w:rsid w:val="44803D71"/>
    <w:rsid w:val="44BA75B4"/>
    <w:rsid w:val="46075D38"/>
    <w:rsid w:val="479B7487"/>
    <w:rsid w:val="48031435"/>
    <w:rsid w:val="4900705A"/>
    <w:rsid w:val="49877032"/>
    <w:rsid w:val="49AE366E"/>
    <w:rsid w:val="4A494F3F"/>
    <w:rsid w:val="4B1C4ECA"/>
    <w:rsid w:val="4CB30463"/>
    <w:rsid w:val="4D6D3115"/>
    <w:rsid w:val="4DF74FC9"/>
    <w:rsid w:val="4EA57C22"/>
    <w:rsid w:val="4F373A05"/>
    <w:rsid w:val="4FFC24CA"/>
    <w:rsid w:val="50000ED0"/>
    <w:rsid w:val="50F471DE"/>
    <w:rsid w:val="51BA7EA1"/>
    <w:rsid w:val="52385517"/>
    <w:rsid w:val="529C6295"/>
    <w:rsid w:val="52BE7ACF"/>
    <w:rsid w:val="534953AC"/>
    <w:rsid w:val="53F13B87"/>
    <w:rsid w:val="53FF00DB"/>
    <w:rsid w:val="544A4CD7"/>
    <w:rsid w:val="545952F2"/>
    <w:rsid w:val="547D75C4"/>
    <w:rsid w:val="54C07702"/>
    <w:rsid w:val="556A2BB0"/>
    <w:rsid w:val="55EC5708"/>
    <w:rsid w:val="560553EF"/>
    <w:rsid w:val="56874282"/>
    <w:rsid w:val="57730A07"/>
    <w:rsid w:val="578213C2"/>
    <w:rsid w:val="57A76219"/>
    <w:rsid w:val="57AE0B91"/>
    <w:rsid w:val="58653812"/>
    <w:rsid w:val="586C319D"/>
    <w:rsid w:val="587D0EB9"/>
    <w:rsid w:val="58CA6C0D"/>
    <w:rsid w:val="58F60760"/>
    <w:rsid w:val="59D86F77"/>
    <w:rsid w:val="5AFD5A55"/>
    <w:rsid w:val="5C41066B"/>
    <w:rsid w:val="5C7A6246"/>
    <w:rsid w:val="5CED4F00"/>
    <w:rsid w:val="5D13590A"/>
    <w:rsid w:val="5D746077"/>
    <w:rsid w:val="5EBC54FC"/>
    <w:rsid w:val="5F951967"/>
    <w:rsid w:val="60510E15"/>
    <w:rsid w:val="60BE0144"/>
    <w:rsid w:val="60DB54F6"/>
    <w:rsid w:val="61276513"/>
    <w:rsid w:val="61886913"/>
    <w:rsid w:val="619758A9"/>
    <w:rsid w:val="61AB13E6"/>
    <w:rsid w:val="62753499"/>
    <w:rsid w:val="65C22480"/>
    <w:rsid w:val="669501E6"/>
    <w:rsid w:val="679A7B08"/>
    <w:rsid w:val="683B7691"/>
    <w:rsid w:val="685C2400"/>
    <w:rsid w:val="68F13623"/>
    <w:rsid w:val="69B32F01"/>
    <w:rsid w:val="6A18591D"/>
    <w:rsid w:val="6B157DBF"/>
    <w:rsid w:val="6CB561E6"/>
    <w:rsid w:val="6CD23598"/>
    <w:rsid w:val="6CDC3EA7"/>
    <w:rsid w:val="6D275220"/>
    <w:rsid w:val="6D2F2FC8"/>
    <w:rsid w:val="6FA81A3C"/>
    <w:rsid w:val="714E2948"/>
    <w:rsid w:val="71633397"/>
    <w:rsid w:val="720B1226"/>
    <w:rsid w:val="726760BC"/>
    <w:rsid w:val="730936C7"/>
    <w:rsid w:val="736F3E5A"/>
    <w:rsid w:val="73A22635"/>
    <w:rsid w:val="746B330F"/>
    <w:rsid w:val="74754016"/>
    <w:rsid w:val="74DF584C"/>
    <w:rsid w:val="7519472C"/>
    <w:rsid w:val="751C3D56"/>
    <w:rsid w:val="7541206D"/>
    <w:rsid w:val="76866E81"/>
    <w:rsid w:val="77D52026"/>
    <w:rsid w:val="78437B5D"/>
    <w:rsid w:val="78B41694"/>
    <w:rsid w:val="79FB522F"/>
    <w:rsid w:val="7A2A6539"/>
    <w:rsid w:val="7B940E6A"/>
    <w:rsid w:val="7BC01697"/>
    <w:rsid w:val="7BF73D70"/>
    <w:rsid w:val="7CB650A7"/>
    <w:rsid w:val="7F0E16E1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alloon Text"/>
    <w:basedOn w:val="1"/>
    <w:link w:val="10"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annotation reference"/>
    <w:basedOn w:val="6"/>
    <w:uiPriority w:val="0"/>
    <w:rPr>
      <w:sz w:val="21"/>
      <w:szCs w:val="21"/>
    </w:rPr>
  </w:style>
  <w:style w:type="paragraph" w:customStyle="1" w:styleId="9">
    <w:name w:val="List Paragraph1"/>
    <w:basedOn w:val="1"/>
    <w:uiPriority w:val="99"/>
    <w:pPr>
      <w:ind w:left="720"/>
    </w:pPr>
  </w:style>
  <w:style w:type="character" w:customStyle="1" w:styleId="10">
    <w:name w:val="Balloon Text Char"/>
    <w:basedOn w:val="6"/>
    <w:link w:val="3"/>
    <w:uiPriority w:val="0"/>
    <w:rPr>
      <w:rFonts w:ascii="Calibri" w:hAnsi="Calibri" w:cs="黑体"/>
      <w:kern w:val="2"/>
      <w:sz w:val="18"/>
      <w:szCs w:val="18"/>
    </w:rPr>
  </w:style>
  <w:style w:type="character" w:customStyle="1" w:styleId="11">
    <w:name w:val="Header Char"/>
    <w:basedOn w:val="6"/>
    <w:link w:val="5"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11</Pages>
  <Words>815</Words>
  <Characters>4651</Characters>
  <Lines>38</Lines>
  <Paragraphs>10</Paragraphs>
  <ScaleCrop>false</ScaleCrop>
  <LinksUpToDate>false</LinksUpToDate>
  <CharactersWithSpaces>0</CharactersWithSpaces>
  <Application>WPS Office 专业版_9.1.0.4798_{F1E327BC-269C-435d-A152-05C5408002CA}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2020-02-12T11:30:00Z</dcterms:created>
  <dc:creator>realm</dc:creator>
  <cp:lastModifiedBy>chengcheng</cp:lastModifiedBy>
  <cp:lastPrinted>2020-01-14T09:38:00Z</cp:lastPrinted>
  <dcterms:modified xsi:type="dcterms:W3CDTF">2020-03-23T01:45:39Z</dcterms:modified>
  <dc:title>工业和信息化部关于开展2020年IPv6端到端贯通能力提升专项行动的通知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